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41E6" w14:textId="77777777" w:rsidR="00113C5A" w:rsidRDefault="00113C5A" w:rsidP="00AC35C4">
      <w:pPr>
        <w:pStyle w:val="F2-zkladn"/>
        <w:rPr>
          <w:b/>
          <w:sz w:val="28"/>
          <w:szCs w:val="28"/>
        </w:rPr>
      </w:pPr>
    </w:p>
    <w:p w14:paraId="5B69C807" w14:textId="77777777"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14:paraId="042BAC95" w14:textId="77777777" w:rsidR="000A2833" w:rsidRPr="009C3DB4" w:rsidRDefault="00337C5C" w:rsidP="00AC35C4">
      <w:pPr>
        <w:pStyle w:val="F2-zkladn"/>
        <w:rPr>
          <w:b/>
          <w:sz w:val="28"/>
          <w:szCs w:val="28"/>
        </w:rPr>
      </w:pPr>
      <w:r>
        <w:pict w14:anchorId="6BE80ED6">
          <v:rect id="AutoShape 2" o:spid="_x0000_s1030" alt="Fidelity International" href="https://www.fidelity.cz/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</w:p>
    <w:p w14:paraId="1A888328" w14:textId="64CC10CC" w:rsidR="000A2833" w:rsidRPr="00B362ED" w:rsidRDefault="00337C5C" w:rsidP="00AC35C4">
      <w:pPr>
        <w:pStyle w:val="F2-zkladn"/>
        <w:tabs>
          <w:tab w:val="right" w:pos="9070"/>
        </w:tabs>
      </w:pPr>
      <w:r>
        <w:pict w14:anchorId="24FECA5C">
          <v:rect id="AutoShape 5" o:spid="_x0000_s1029" alt="Fidelity International" href="https://www.fidelity.cz/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  <w:r w:rsidR="00DE3946" w:rsidRPr="00B362ED">
        <w:tab/>
        <w:t xml:space="preserve">Praha, </w:t>
      </w:r>
      <w:r w:rsidR="00B248D1">
        <w:t>25</w:t>
      </w:r>
      <w:r w:rsidR="00A30105">
        <w:t>. března 20</w:t>
      </w:r>
      <w:r w:rsidR="00A26BB0">
        <w:t>20</w:t>
      </w:r>
    </w:p>
    <w:p w14:paraId="7DE23021" w14:textId="77777777" w:rsidR="00B248D1" w:rsidRDefault="00B248D1" w:rsidP="00A30105">
      <w:pPr>
        <w:pStyle w:val="F2-zkladn"/>
        <w:tabs>
          <w:tab w:val="right" w:pos="9070"/>
        </w:tabs>
        <w:rPr>
          <w:b/>
          <w:sz w:val="28"/>
          <w:szCs w:val="28"/>
        </w:rPr>
      </w:pPr>
      <w:r w:rsidRPr="00B248D1">
        <w:rPr>
          <w:b/>
          <w:sz w:val="28"/>
          <w:szCs w:val="28"/>
        </w:rPr>
        <w:t>Proč je koronavirová krize spíš podobná té v roce 1918 než v 2008?</w:t>
      </w:r>
    </w:p>
    <w:p w14:paraId="47E5C605" w14:textId="77777777" w:rsidR="00B248D1" w:rsidRDefault="00B248D1" w:rsidP="00B248D1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</w:p>
    <w:p w14:paraId="0836EF59" w14:textId="57DCAD00" w:rsidR="00B248D1" w:rsidRPr="00B248D1" w:rsidRDefault="00B248D1" w:rsidP="00B248D1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  <w:r w:rsidRPr="00B248D1">
        <w:rPr>
          <w:b/>
          <w:lang w:val="x-none" w:eastAsia="x-none"/>
        </w:rPr>
        <w:t>Aditya Khowala Portfolio Manager, Fidelity International</w:t>
      </w:r>
    </w:p>
    <w:p w14:paraId="3E88CBF3" w14:textId="77777777" w:rsidR="00B248D1" w:rsidRPr="00B248D1" w:rsidRDefault="00B248D1" w:rsidP="00B248D1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</w:p>
    <w:p w14:paraId="75586BC4" w14:textId="54EA92AB" w:rsidR="00A26BB0" w:rsidRDefault="00B248D1" w:rsidP="00B248D1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  <w:r w:rsidRPr="00B248D1">
        <w:rPr>
          <w:b/>
          <w:lang w:val="x-none" w:eastAsia="x-none"/>
        </w:rPr>
        <w:t>Zapomeňte na klesající trhy z roku 2008, šoky související s Covid-19 jsou spíše jako chřipková pandemie z roku 1918. Zkoumání podobností mezi současností a tehdejší dobou nabízí vodítka, jak se současná pandemie může vyvíjet a ovlivňovat různá odvětví světové ekonomiky.</w:t>
      </w:r>
    </w:p>
    <w:p w14:paraId="460996B1" w14:textId="77777777" w:rsidR="00B248D1" w:rsidRDefault="00B248D1" w:rsidP="00B248D1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13CF673A" w14:textId="2B4D1440" w:rsidR="006640DB" w:rsidRPr="006640DB" w:rsidRDefault="006640DB" w:rsidP="006640DB">
      <w:pPr>
        <w:pStyle w:val="Normlnweb"/>
        <w:shd w:val="clear" w:color="auto" w:fill="FFFFFF"/>
        <w:spacing w:before="0" w:line="330" w:lineRule="atLeast"/>
        <w:rPr>
          <w:b/>
          <w:bCs/>
          <w:color w:val="323130"/>
          <w:bdr w:val="none" w:sz="0" w:space="0" w:color="auto" w:frame="1"/>
        </w:rPr>
      </w:pPr>
      <w:r w:rsidRPr="006640DB">
        <w:rPr>
          <w:b/>
          <w:bCs/>
          <w:color w:val="323130"/>
          <w:bdr w:val="none" w:sz="0" w:space="0" w:color="auto" w:frame="1"/>
        </w:rPr>
        <w:t>Velká finanční krize v roce 2008 byla recesí bilance</w:t>
      </w:r>
    </w:p>
    <w:p w14:paraId="16B7C7C2" w14:textId="77777777" w:rsidR="006640DB" w:rsidRPr="006640DB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Jakkoli je tato krize špatná, není to velká finanční krize. Velká finanční krize byla bilanční recese vyvolaná zhrouceným trhem s nemovitostmi a nedostatkem důvěry v banky. Bydlení je největším zdrojem spotřebitelského bohatství v hodnotě přibližně 11 bilionů dolarů, takže velké poklesy cen nemovitostí nebo omezení půjček mohou způsobit strukturální zpomalení. V USA máme v nedávné paměti pouze dva krachy trhu s nemovitostmi, a to v letech 1929 a 2008/2009. Obě tyto události vedly k významnému hospodářskému zpomalení a trvalo dlouho, než se systém uzdravil a ekonomika se dostala zpět na svou úroveň.</w:t>
      </w:r>
    </w:p>
    <w:p w14:paraId="23770CFC" w14:textId="77777777" w:rsidR="006640DB" w:rsidRPr="006640DB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1D5C8CC2" w14:textId="158EBB59" w:rsidR="00A26BB0" w:rsidRPr="006640DB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sz w:val="28"/>
          <w:szCs w:val="28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Tentokrát jsou nejzranitelnější odvětví turistické přepravy, cestovního ruchu a maloobchodu, ale celková doba na zotavení by mohla být kratší, pokud budou platit původní trendy.</w:t>
      </w:r>
    </w:p>
    <w:p w14:paraId="78DAC678" w14:textId="77777777" w:rsidR="006640DB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531D2C0F" w14:textId="7BFCEB97" w:rsidR="006640DB" w:rsidRPr="006640DB" w:rsidRDefault="006640DB" w:rsidP="006640DB">
      <w:pPr>
        <w:pStyle w:val="Normlnweb"/>
        <w:shd w:val="clear" w:color="auto" w:fill="FFFFFF"/>
        <w:spacing w:before="0" w:line="330" w:lineRule="atLeast"/>
        <w:rPr>
          <w:b/>
          <w:bCs/>
          <w:color w:val="323130"/>
          <w:bdr w:val="none" w:sz="0" w:space="0" w:color="auto" w:frame="1"/>
        </w:rPr>
      </w:pPr>
      <w:r w:rsidRPr="006640DB">
        <w:rPr>
          <w:b/>
          <w:bCs/>
          <w:color w:val="323130"/>
          <w:bdr w:val="none" w:sz="0" w:space="0" w:color="auto" w:frame="1"/>
        </w:rPr>
        <w:t>Náraz Covid-19 je podobný vypuknutí krize 1918-19</w:t>
      </w:r>
    </w:p>
    <w:p w14:paraId="19AD7BEE" w14:textId="550E4BE5" w:rsidR="00A26BB0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Podle mého názoru bychom se spíše než porovnávání se situací před 12 lety měli věnovat události před 102 lety. Je to proto, že „Covid-19“ je krizí založenou na událostech, které jsou v některých ohledech srovnatelné s pandemií chřipky v letech 1918-1919. Recese tehdy trvala pouze sedm měsíců, i když druhá vlna infekcí, která začala na podzim 1918 byla mnohem smrtelnější než první. Během pandemie v letech 1918-1919, v době, kdy se svět zotavoval z první světové války, zemřelo 5 procent světové populace a jedna třetina se nakazila. My máme za sebou již druhý měsíc po propuknutí současné pandemie ve světě a naše zdravotnické systémy jsou mnohem lépe organizované než v roce 1918. Nicméně teprve uvidíme, jak bude virus postupovat a jak brzy bude zkrocený. Je však užitečné přemýšlet nad rozsahem minulých krizí založených na podobných událostech při srovnávání se strukturálními a cyklickými krizemi zejména proto, že se čínská data o nových případech od začátku března každý týden zlepšují a v několika oblastech se země blíží normálnímu stavu.</w:t>
      </w:r>
    </w:p>
    <w:p w14:paraId="20827A24" w14:textId="77777777" w:rsidR="006640DB" w:rsidRDefault="006640DB" w:rsidP="006640DB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6ECA0313" w14:textId="48948AC6" w:rsidR="006640DB" w:rsidRPr="006640DB" w:rsidRDefault="006640DB" w:rsidP="006640DB">
      <w:pPr>
        <w:pStyle w:val="F2-zkladn"/>
        <w:tabs>
          <w:tab w:val="right" w:pos="9070"/>
        </w:tabs>
        <w:rPr>
          <w:b/>
          <w:bCs/>
          <w:color w:val="323130"/>
          <w:bdr w:val="none" w:sz="0" w:space="0" w:color="auto" w:frame="1"/>
        </w:rPr>
      </w:pPr>
      <w:r w:rsidRPr="006640DB">
        <w:rPr>
          <w:b/>
          <w:bCs/>
          <w:color w:val="323130"/>
          <w:bdr w:val="none" w:sz="0" w:space="0" w:color="auto" w:frame="1"/>
        </w:rPr>
        <w:lastRenderedPageBreak/>
        <w:t>Největší dopad bude na turistickou přepravu, cestovní ruch a maloobchod</w:t>
      </w:r>
    </w:p>
    <w:p w14:paraId="74E95DCB" w14:textId="45CC2622" w:rsidR="006640DB" w:rsidRPr="006640DB" w:rsidRDefault="006640DB" w:rsidP="006640DB">
      <w:pPr>
        <w:pStyle w:val="F2-zkladn"/>
        <w:tabs>
          <w:tab w:val="right" w:pos="9070"/>
        </w:tabs>
        <w:spacing w:before="0"/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 xml:space="preserve">Jak jsme poprvé viděli v Číně, poté v Asii a dále na celém světě, nejpalčivější dopady opatření na omezení šíření viru zaznamenává odvětví cestování a cestovního ruchu. Vzhledem k tomu, že toto odvětví představuje 10,4 procenta celosvětové ekonomiky a zaměstnává 10 procent celosvětové pracovní síly, budou dopady značné. Podle World Travel and Tourism Council trvá v průměru přibližně 19,4 měsíců, než se odvětví zotaví z epidemií, což </w:t>
      </w:r>
      <w:r w:rsidR="00CC245B">
        <w:rPr>
          <w:color w:val="323130"/>
          <w:bdr w:val="none" w:sz="0" w:space="0" w:color="auto" w:frame="1"/>
        </w:rPr>
        <w:t>je</w:t>
      </w:r>
      <w:r w:rsidRPr="006640DB">
        <w:rPr>
          <w:color w:val="323130"/>
          <w:bdr w:val="none" w:sz="0" w:space="0" w:color="auto" w:frame="1"/>
        </w:rPr>
        <w:t xml:space="preserve"> dokonce déle, než 11,5</w:t>
      </w:r>
      <w:r w:rsidRPr="006640DB">
        <w:rPr>
          <w:color w:val="323130"/>
          <w:bdr w:val="none" w:sz="0" w:space="0" w:color="auto" w:frame="1"/>
        </w:rPr>
        <w:t xml:space="preserve"> </w:t>
      </w:r>
      <w:r w:rsidRPr="006640DB">
        <w:rPr>
          <w:color w:val="323130"/>
          <w:bdr w:val="none" w:sz="0" w:space="0" w:color="auto" w:frame="1"/>
        </w:rPr>
        <w:t xml:space="preserve">měsíců, které jsou zapotřebí k vyrovnání situace po teroristických útocích. Letecké společnosti, výletní lodě, hotely, restaurace a přidružená odvětví v dodavatelských řetězcích budou </w:t>
      </w:r>
      <w:r w:rsidR="00CC245B">
        <w:rPr>
          <w:color w:val="323130"/>
          <w:bdr w:val="none" w:sz="0" w:space="0" w:color="auto" w:frame="1"/>
        </w:rPr>
        <w:t xml:space="preserve">v </w:t>
      </w:r>
      <w:r w:rsidRPr="006640DB">
        <w:rPr>
          <w:color w:val="323130"/>
          <w:bdr w:val="none" w:sz="0" w:space="0" w:color="auto" w:frame="1"/>
        </w:rPr>
        <w:t>příštích týdnech a měsících trpět a návrat k normálu bude trvat alespoň do příštího léta.</w:t>
      </w:r>
    </w:p>
    <w:p w14:paraId="63A800DA" w14:textId="19859288" w:rsidR="006640DB" w:rsidRPr="006640DB" w:rsidRDefault="006640DB" w:rsidP="006640DB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Maloobchod se stavebninami v souvislosti s dalším snížením ekonomiky v příštích dvou čtvrtletích prudce poklesne. Odvětví už chvíli bojuje a pokles důvěry spotřebitelů a zvyšování úvěrového stresu pravděpodobně způsobí, že řada podniků půjde ke dnu.</w:t>
      </w:r>
    </w:p>
    <w:p w14:paraId="077EEAEE" w14:textId="60DA47E0" w:rsidR="006640DB" w:rsidRPr="006640DB" w:rsidRDefault="006640DB" w:rsidP="006640DB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V roce 1918 neex</w:t>
      </w:r>
      <w:r w:rsidRPr="006640DB">
        <w:rPr>
          <w:color w:val="323130"/>
          <w:bdr w:val="none" w:sz="0" w:space="0" w:color="auto" w:frame="1"/>
        </w:rPr>
        <w:t>i</w:t>
      </w:r>
      <w:r w:rsidRPr="006640DB">
        <w:rPr>
          <w:color w:val="323130"/>
          <w:bdr w:val="none" w:sz="0" w:space="0" w:color="auto" w:frame="1"/>
        </w:rPr>
        <w:t>stoval internet a řada podniků byla zasažena. Ekonomická data z té doby jsou vzácná, ale studie, kterou vytvořil St. Louis Fed roku 2007 o pandemii v roce 1918, zmiňuje novinové články z Little Rock, Arkansas. Ty reportují, že podle obchodníků se jejich byznys během vypuknutí pandemie snížil o 40</w:t>
      </w:r>
      <w:r w:rsidR="00CC245B">
        <w:rPr>
          <w:color w:val="323130"/>
          <w:bdr w:val="none" w:sz="0" w:space="0" w:color="auto" w:frame="1"/>
        </w:rPr>
        <w:t>-</w:t>
      </w:r>
      <w:r w:rsidRPr="006640DB">
        <w:rPr>
          <w:color w:val="323130"/>
          <w:bdr w:val="none" w:sz="0" w:space="0" w:color="auto" w:frame="1"/>
        </w:rPr>
        <w:t>70 procent, zatímco u maloobchodních prodejen potravin klesl jen o jednu třetinu. Jediným obchodem v Little Rock, který v tom roce zaznamenal nárůst aktivity, byla lékárna.</w:t>
      </w:r>
    </w:p>
    <w:p w14:paraId="6113FA4C" w14:textId="77777777" w:rsidR="006640DB" w:rsidRPr="006640DB" w:rsidRDefault="006640DB" w:rsidP="006640DB">
      <w:pPr>
        <w:pStyle w:val="F2-zkladn"/>
        <w:tabs>
          <w:tab w:val="right" w:pos="9070"/>
        </w:tabs>
        <w:rPr>
          <w:b/>
          <w:bCs/>
          <w:color w:val="323130"/>
          <w:bdr w:val="none" w:sz="0" w:space="0" w:color="auto" w:frame="1"/>
        </w:rPr>
      </w:pPr>
      <w:r w:rsidRPr="006640DB">
        <w:rPr>
          <w:b/>
          <w:bCs/>
          <w:color w:val="323130"/>
          <w:bdr w:val="none" w:sz="0" w:space="0" w:color="auto" w:frame="1"/>
        </w:rPr>
        <w:t>Neopakování roku 2008</w:t>
      </w:r>
    </w:p>
    <w:p w14:paraId="141DC7E1" w14:textId="24DD19CD" w:rsidR="006640DB" w:rsidRPr="006640DB" w:rsidRDefault="006640DB" w:rsidP="006640DB">
      <w:pPr>
        <w:pStyle w:val="F2-zkladn"/>
        <w:tabs>
          <w:tab w:val="right" w:pos="9070"/>
        </w:tabs>
        <w:spacing w:before="0"/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V současné době dostaly finanční instituce, zejména banky, velký zásah a obchodují se výrazně pod jejich účetní hodnotou. Dividendové výnosy jsou ale přesto mnohem vyšší než americké státní dluhopisy. Investoři opakují svoje strategie z dob velké finanční krize prodejem těchto akcií s předpokladem, že banky budou trpět stejně jako tehdy. Domnívám se však, že bankovní systém USA je odolnější než v roce 2008, s mnohem lepší kontrolou rizik a výrazně vyšším kapitálem.</w:t>
      </w:r>
    </w:p>
    <w:p w14:paraId="2316E001" w14:textId="0B9D76C4" w:rsidR="006640DB" w:rsidRPr="006640DB" w:rsidRDefault="006640DB" w:rsidP="006640DB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Většina úvěrového rizika nyní spočívá na nebankovních finančních společnostech, jako jsou společnosti private equity, venture capital, hedge fondy a pojišťovací společnosti. Tyto společnosti budou zažívat největší ztráty, zatímco banky to, jak očekávám, projdou podobným způsobem, jak se jim dařilo v době technologického rozkvětu v letech 2001/</w:t>
      </w:r>
      <w:r w:rsidR="00CC245B">
        <w:rPr>
          <w:color w:val="323130"/>
          <w:bdr w:val="none" w:sz="0" w:space="0" w:color="auto" w:frame="1"/>
        </w:rPr>
        <w:t>20</w:t>
      </w:r>
      <w:bookmarkStart w:id="0" w:name="_GoBack"/>
      <w:bookmarkEnd w:id="0"/>
      <w:r w:rsidRPr="006640DB">
        <w:rPr>
          <w:color w:val="323130"/>
          <w:bdr w:val="none" w:sz="0" w:space="0" w:color="auto" w:frame="1"/>
        </w:rPr>
        <w:t>02.</w:t>
      </w:r>
    </w:p>
    <w:p w14:paraId="4DCA865C" w14:textId="67C85A40" w:rsidR="00073A88" w:rsidRPr="006640DB" w:rsidRDefault="006640DB" w:rsidP="006640DB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6640DB">
        <w:rPr>
          <w:color w:val="323130"/>
          <w:bdr w:val="none" w:sz="0" w:space="0" w:color="auto" w:frame="1"/>
        </w:rPr>
        <w:t>Průmysl se mezitím již začal zotavovat ze zpomalení a tohle všechno už v minulosti zažil. S tím, jak se Čína začíná vracet zpátky a zásoby se tvoří znovu, očekávám, že se průmyslová výroba v příštích šesti měsících zotaví rychleji než spotřebitelská odvětví. A vzhledem k tomu, že více než 75 procent akcií celkově nabízí vyšší výnosy než americké státní dluhopisy – rekordně vysoké – poměry rizika / výnosu vypadají ve střednědobém horizontu příznivěji, protože vážíme ekonomický dopad viru s ohledem na velikost peněžní zásoby a fiskální odpověď. Zatímco rok 2008 je v myslích účastníků trhu stále čerstvý, tento šok se bude odehrávat odlišně, v epicentru bude spíš cestovní ruch než banky.</w:t>
      </w:r>
    </w:p>
    <w:p w14:paraId="0C3B2BDC" w14:textId="77777777" w:rsidR="006640DB" w:rsidRDefault="006640DB" w:rsidP="006640DB">
      <w:pPr>
        <w:pStyle w:val="F2-zkladn"/>
        <w:tabs>
          <w:tab w:val="right" w:pos="9070"/>
        </w:tabs>
        <w:rPr>
          <w:b/>
        </w:rPr>
      </w:pPr>
    </w:p>
    <w:p w14:paraId="6D914DE3" w14:textId="77777777"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14:paraId="7A65EED4" w14:textId="77777777" w:rsidR="001A0CB6" w:rsidRPr="009C3DB4" w:rsidRDefault="001A0CB6" w:rsidP="00AC35C4">
      <w:pPr>
        <w:spacing w:before="0" w:line="360" w:lineRule="auto"/>
        <w:rPr>
          <w:b/>
        </w:rPr>
      </w:pPr>
    </w:p>
    <w:p w14:paraId="3388347A" w14:textId="77777777"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14:paraId="0B51F0BC" w14:textId="77777777"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14:paraId="618D098D" w14:textId="77777777" w:rsidR="001A0CB6" w:rsidRPr="009C3DB4" w:rsidRDefault="001A0CB6" w:rsidP="00AC35C4">
      <w:pPr>
        <w:spacing w:before="0" w:line="240" w:lineRule="atLeast"/>
      </w:pPr>
    </w:p>
    <w:p w14:paraId="7AB45B55" w14:textId="77777777"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14:paraId="7420C868" w14:textId="77777777" w:rsidR="001A0CB6" w:rsidRPr="009C3DB4" w:rsidRDefault="001A0CB6" w:rsidP="00AC35C4">
      <w:pPr>
        <w:spacing w:before="0" w:line="240" w:lineRule="atLeast"/>
      </w:pPr>
      <w:r w:rsidRPr="009C3DB4">
        <w:lastRenderedPageBreak/>
        <w:t>110 00 Praha 1</w:t>
      </w:r>
    </w:p>
    <w:p w14:paraId="28B539CA" w14:textId="77777777" w:rsidR="001A0CB6" w:rsidRPr="009C3DB4" w:rsidRDefault="001A0CB6" w:rsidP="00AC35C4">
      <w:pPr>
        <w:spacing w:before="0" w:line="240" w:lineRule="atLeast"/>
      </w:pPr>
      <w:r w:rsidRPr="009C3DB4">
        <w:t>gsm: + 420 731 613 669</w:t>
      </w:r>
    </w:p>
    <w:p w14:paraId="4B76C589" w14:textId="77777777" w:rsidR="001A0CB6" w:rsidRPr="009C3DB4" w:rsidRDefault="00337C5C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14:paraId="2684F9BB" w14:textId="77777777"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8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14:paraId="566D300F" w14:textId="77777777"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14:paraId="35D980F9" w14:textId="77777777"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r w:rsidRPr="008F1A81">
        <w:rPr>
          <w:b/>
          <w:sz w:val="18"/>
        </w:rPr>
        <w:t xml:space="preserve">Fidelity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(assets under administration)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Fidelity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74359BE8" w14:textId="77777777"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14:paraId="47AB101D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 xml:space="preserve">Fidelity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>nejnovější půlroční zprávu. Tyto dokumenty tvoří jediný závazný základ pro nákup. Tyto dokumenty získáte bezplatně v pobočce FIL Investment Services GmbH, Kastanienhöhe 1, D-61476 Kronberg im Taunus, Německo, nebo v UniCredit Bank Austria AG, Vordere Zollamtstrasse 13, A-1030 Vídeň, nebo v UniCredit Bank Slovakia, a. s., Šancova 1/A, 813 33 Bratislava, nebo v Unicredit Bank Czech Republic, a. s., náměstí Republiky 3a, 111 21 Praha 1, nebo na adresách www.fidelity.at, www.fidelity.cz, www.fidelity.sk.</w:t>
      </w:r>
    </w:p>
    <w:p w14:paraId="0895F3B1" w14:textId="77777777"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14:paraId="7BB287E4" w14:textId="77777777"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 xml:space="preserve">FIL (Luxembourg) S.A. Zweigniederlassung Wien, Mariahilfer Straße 36, 1070 Vídeň, IČO: FN 374007 </w:t>
      </w:r>
    </w:p>
    <w:p w14:paraId="0B1437AF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>Fidelity, Fidelity International, logo Fidelity International a symbol F jsou registrované ochranné známky společnosti FIL Limited.</w:t>
      </w:r>
    </w:p>
    <w:p w14:paraId="21A8DFCF" w14:textId="77777777"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Notes to editors</w:t>
      </w:r>
    </w:p>
    <w:p w14:paraId="669EDA9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authorised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14:paraId="7735D81B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Fidelity only offers information on products and services and does not provide investment advice based on individual circumstances, other than when specifically stipulated by an appropriately authorised firm, in a formal communication with the client.</w:t>
      </w:r>
    </w:p>
    <w:p w14:paraId="67B0758C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organisation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authorised for distribution or where no such authorisation is required.</w:t>
      </w:r>
    </w:p>
    <w:p w14:paraId="779A71D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14:paraId="7B0F551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>, FIL (Luxembourg) S.A. 2a, rue Albert Borschette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Schottengasse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>: Our Paying agent UniCredit Bank Czech Republic a.s., Zeletavska 1525/1, 14092 Prag 4 - Michle,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authorised and supervised by the AMF (Autorité des Marchés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</w:t>
      </w:r>
      <w:r w:rsidRPr="00681745">
        <w:rPr>
          <w:color w:val="000000"/>
          <w:sz w:val="18"/>
          <w:szCs w:val="18"/>
          <w:lang w:val="en-US"/>
        </w:rPr>
        <w:lastRenderedPageBreak/>
        <w:t>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> FIL Investment Services GmbH, Postfach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Zentralbank Österreich AG, Akademia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>: FIL (Luxembourg) S.A., Netherlands Branch (registered with the AFM), World Trade Centre, Tower H, 6th Floor, Zuidplein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a.s., Sancova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14:paraId="163F8475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>, authorised and supervised by the CSSF (Commission de</w:t>
      </w:r>
    </w:p>
    <w:p w14:paraId="1DC94C28" w14:textId="77777777"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Surveillance du Secteur Financier) / FIL Gestion, authorised and supervised by the AMF (Autorité des Marchés Financiers) / FIL Investments Services GmbH.</w:t>
      </w:r>
    </w:p>
    <w:sectPr w:rsidR="00645857" w:rsidRPr="00A30105" w:rsidSect="002F1160">
      <w:headerReference w:type="default" r:id="rId9"/>
      <w:footerReference w:type="default" r:id="rId10"/>
      <w:headerReference w:type="first" r:id="rId11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5CF2" w14:textId="77777777" w:rsidR="00337C5C" w:rsidRDefault="00337C5C">
      <w:r>
        <w:separator/>
      </w:r>
    </w:p>
  </w:endnote>
  <w:endnote w:type="continuationSeparator" w:id="0">
    <w:p w14:paraId="091010D0" w14:textId="77777777" w:rsidR="00337C5C" w:rsidRDefault="0033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6D45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F9146" w14:textId="77777777" w:rsidR="00337C5C" w:rsidRDefault="00337C5C">
      <w:r>
        <w:separator/>
      </w:r>
    </w:p>
  </w:footnote>
  <w:footnote w:type="continuationSeparator" w:id="0">
    <w:p w14:paraId="762CD180" w14:textId="77777777" w:rsidR="00337C5C" w:rsidRDefault="00337C5C">
      <w:r>
        <w:continuationSeparator/>
      </w:r>
    </w:p>
  </w:footnote>
  <w:footnote w:type="continuationNotice" w:id="1">
    <w:p w14:paraId="0A1B664C" w14:textId="77777777" w:rsidR="00337C5C" w:rsidRDefault="00337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5C17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5BC0F" w14:textId="77777777" w:rsidR="001D1343" w:rsidRDefault="00337C5C">
    <w:pPr>
      <w:pStyle w:val="Zhlav"/>
    </w:pPr>
    <w:r>
      <w:rPr>
        <w:noProof/>
      </w:rPr>
      <w:pict w14:anchorId="31061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29.25pt;margin-top:20.1pt;width:124.5pt;height:38.25pt;z-index:1">
          <v:imagedata r:id="rId1" o:title=""/>
          <w10:wrap type="square"/>
        </v:shape>
      </w:pict>
    </w:r>
  </w:p>
  <w:p w14:paraId="4A8C7805" w14:textId="77777777" w:rsidR="001D1343" w:rsidRDefault="001D1343">
    <w:pPr>
      <w:pStyle w:val="Zhlav"/>
    </w:pPr>
  </w:p>
  <w:p w14:paraId="09E5393A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5E2632F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69541678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765C0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8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EF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4E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46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4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4C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3DB846C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CC66B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A3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4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C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309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2C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C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22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37C5C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640DB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6BB0"/>
    <w:rsid w:val="00A2793B"/>
    <w:rsid w:val="00A30105"/>
    <w:rsid w:val="00A31ADE"/>
    <w:rsid w:val="00A35D3C"/>
    <w:rsid w:val="00A37C9A"/>
    <w:rsid w:val="00A41C95"/>
    <w:rsid w:val="00A433A9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48D1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245B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4F8AB316"/>
  <w15:chartTrackingRefBased/>
  <w15:docId w15:val="{1101D5FF-D256-443B-A466-DC1B010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customStyle="1" w:styleId="Podtitul">
    <w:name w:val="Podtitul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stefcova@crestc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4A6C-F871-47DB-A84A-4D99F955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11527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4</cp:revision>
  <cp:lastPrinted>2015-11-30T17:29:00Z</cp:lastPrinted>
  <dcterms:created xsi:type="dcterms:W3CDTF">2020-03-25T11:17:00Z</dcterms:created>
  <dcterms:modified xsi:type="dcterms:W3CDTF">2020-03-25T11:27:00Z</dcterms:modified>
</cp:coreProperties>
</file>